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B" w:rsidRPr="0075580B" w:rsidRDefault="0075580B" w:rsidP="0075580B">
      <w:pPr>
        <w:pStyle w:val="aa"/>
        <w:spacing w:line="276" w:lineRule="auto"/>
        <w:jc w:val="center"/>
        <w:rPr>
          <w:rFonts w:ascii="GHEA Grapalat" w:hAnsi="GHEA Grapalat" w:cs="Courier New"/>
          <w:i/>
          <w:sz w:val="22"/>
          <w:szCs w:val="22"/>
          <w:lang w:val="hy-AM"/>
        </w:rPr>
      </w:pPr>
      <w:r w:rsidRPr="0075580B">
        <w:rPr>
          <w:rStyle w:val="ab"/>
          <w:rFonts w:ascii="GHEA Grapalat" w:hAnsi="GHEA Grapalat" w:cs="GHEA Grapalat"/>
          <w:i/>
          <w:sz w:val="22"/>
          <w:szCs w:val="22"/>
          <w:lang w:val="hy-AM"/>
        </w:rPr>
        <w:t>ՀԻՄԱՎՈՐՈՒՄ</w:t>
      </w:r>
      <w:r w:rsidRPr="0075580B">
        <w:rPr>
          <w:rStyle w:val="ab"/>
          <w:rFonts w:ascii="GHEA Grapalat" w:hAnsi="GHEA Grapalat"/>
          <w:i/>
          <w:sz w:val="22"/>
          <w:szCs w:val="22"/>
          <w:lang w:val="hy-AM"/>
        </w:rPr>
        <w:br/>
        <w:t xml:space="preserve">ՄԵՂՐԻ ՀԱՄԱՅՆՔԻ 2021  ԹՎԱԿԱՆԻ ԲՅՈՒՋԵԻ ԿԱՏԱՐՄԱՆ ՏԱՐԵԿԱՆ ՀԱՇՎԵՏՎՈՒԹՅՈՒՆԸ ՀԱՍՏԱՏԵԼՈՒ ՄԱՍԻՆ  ԱՎԱԳԱՆՈՒ ՈՐՈՇՄԱՆ ՆԱԽԱԳԾԻ ԸՆԴՈՒՆՄԱՆ </w:t>
      </w:r>
    </w:p>
    <w:p w:rsidR="00016817" w:rsidRPr="0075580B" w:rsidRDefault="00525AD5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վերաբերյալ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հաշվետվությունը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կազմվել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ընդունելով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ինքնակառավարման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BC5D5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82-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րդ</w:t>
      </w:r>
      <w:r w:rsidR="00BC5D53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83-րդ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համակարգի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35 -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րդ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հոդվածներով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ամրագրված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դրույթները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հիմքում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ընկած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հավաստիությունը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հստակությունը։</w:t>
      </w:r>
      <w:r w:rsidR="00016817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</w:p>
    <w:p w:rsidR="006D4DE4" w:rsidRPr="0056095B" w:rsidRDefault="007A03C6" w:rsidP="00714454">
      <w:pPr>
        <w:pStyle w:val="a9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915</w:t>
      </w:r>
      <w:r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137 ,2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տարեկան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66C9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C66C93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C66C9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135</w:t>
      </w:r>
      <w:r w:rsidR="00C66C93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C66C9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677,1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A97B48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66C9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80</w:t>
      </w:r>
      <w:r w:rsidR="00E628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C66C93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425B7F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8906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9068A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E6286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C37DB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9,8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89068A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F4A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կամ  </w:t>
      </w:r>
      <w:r w:rsidR="00C37DB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99</w:t>
      </w:r>
      <w:r w:rsidR="00C37DB0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C37DB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707,</w:t>
      </w:r>
      <w:r w:rsidR="00B165E4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C37DB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F4A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</w:t>
      </w:r>
      <w:r w:rsidR="00AF4AB0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AF4AB0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AF4A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37DB0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նվազել է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628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</w:t>
      </w:r>
      <w:r w:rsidR="00E62860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</w:t>
      </w:r>
      <w:r w:rsidR="00AF4A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հավաքագրման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մակարդակ</w:t>
      </w:r>
      <w:r w:rsidR="00C37DB0" w:rsidRPr="0075580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ից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647F54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647F54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647F54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014 845.1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</w:t>
      </w:r>
      <w:r w:rsidR="0089068A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89068A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89068A" w:rsidRPr="0075580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8906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Թերակատարման հիմնական պատճառը սուբվենցիոն ծրագրերի գծով պետական բյուջեի հատկացումներն են</w:t>
      </w:r>
      <w:r w:rsidR="001260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՝ </w:t>
      </w:r>
      <w:r w:rsidR="001260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մրջգերատեսչական հանձնաժողովի կողմից հավանության արժանացած 2021թվականի սուբվենցիոն ծրագրերի վերաբերյալ </w:t>
      </w:r>
      <w:r w:rsidR="00AE6FC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ՀՀ կառավարությա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ն</w:t>
      </w:r>
      <w:r w:rsidR="001260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կողմից 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որոշ</w:t>
      </w:r>
      <w:r w:rsidR="001260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ումներ  չեն </w:t>
      </w:r>
      <w:r w:rsidR="0012605C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կայացվել</w:t>
      </w:r>
      <w:r w:rsidR="00425B7F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։</w:t>
      </w:r>
      <w:r w:rsidR="00A63BFE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</w:t>
      </w:r>
      <w:r w:rsidR="00425B7F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երլուծություն</w:t>
      </w:r>
      <w:r w:rsidR="003870FD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ը</w:t>
      </w:r>
      <w:r w:rsidR="00425B7F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ցույց տվեց</w:t>
      </w:r>
      <w:r w:rsidR="008F19FA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,որ</w:t>
      </w:r>
      <w:r w:rsidR="0095194D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վարչական 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val="hy-AM" w:eastAsia="ru-RU"/>
        </w:rPr>
        <w:t>բյուջեի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հավաքագրման մասով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պատկերը այլ է՝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նախատեսված 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706</w:t>
      </w:r>
      <w:r w:rsidR="003E564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694.2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C93696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դրամի 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701</w:t>
      </w:r>
      <w:r w:rsidR="003E564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684,8 </w:t>
      </w:r>
      <w:r w:rsidR="00E628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կամ</w:t>
      </w:r>
      <w:r w:rsidR="00425B7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E6FC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ապահովելով</w:t>
      </w:r>
      <w:r w:rsidR="00F330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99</w:t>
      </w:r>
      <w:r w:rsidR="00F330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E564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F330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%-ով</w:t>
      </w:r>
      <w:r w:rsidR="00AE6FC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A97B4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671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Չնայած կատարման բարձր մակարդակին </w:t>
      </w:r>
      <w:r w:rsidR="00C9369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որոշ</w:t>
      </w:r>
      <w:r w:rsidR="003671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եկամտատեսակների գծով համայնքը ունի թերակատարում։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val="hy-AM" w:eastAsia="ru-RU"/>
        </w:rPr>
        <w:t>Ֆոնդային բյուջեն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կատարվել է 4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%-ով, նախատեսված 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428</w:t>
      </w:r>
      <w:r w:rsidR="00B60F1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982,9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դրամի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F269D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213</w:t>
      </w:r>
      <w:r w:rsidR="00B60F1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452,4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դրամ։</w:t>
      </w:r>
      <w:r w:rsidR="000B5DB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Փաստացի մուտքերի 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210</w:t>
      </w:r>
      <w:r w:rsidR="00B60F1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124,9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</w:t>
      </w:r>
      <w:r w:rsidR="000B5DB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ֆինանսավորվել</w:t>
      </w:r>
      <w:r w:rsidR="00497764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է </w:t>
      </w:r>
      <w:r w:rsidR="000B5DB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պետ</w:t>
      </w:r>
      <w:r w:rsidR="000B5DB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</w:t>
      </w:r>
      <w:r w:rsidR="000B5DB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ց,իսկ 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B60F11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60F1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327,5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դրամը՝համայնքի</w:t>
      </w:r>
      <w:r w:rsidR="000B5DB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բյուջեից։</w:t>
      </w:r>
      <w:r w:rsidR="00A63BF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</w:t>
      </w:r>
      <w:r w:rsidR="008F19F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1D0B8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E628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714454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սեփական</w:t>
      </w:r>
      <w:r w:rsidR="00016817" w:rsidRPr="0071445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016817" w:rsidRPr="00714454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եկամուտները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պլանավորվել</w:t>
      </w:r>
      <w:r w:rsidR="00B80F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E097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285</w:t>
      </w:r>
      <w:r w:rsidR="00B0748D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950,0</w:t>
      </w:r>
      <w:r w:rsidR="007D727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277</w:t>
      </w:r>
      <w:r w:rsidR="00B80F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590</w:t>
      </w:r>
      <w:r w:rsidR="00B80F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748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97,1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Սեփական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350F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91F3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91F3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 կամ </w:t>
      </w:r>
      <w:r w:rsidR="00391F3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40</w:t>
      </w:r>
      <w:r w:rsidR="00391F39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91F3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620,5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DF76D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92232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647F47" w:rsidRPr="00383F2B" w:rsidRDefault="006D4DE4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383F2B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2021թվականի փաստացի հավաքագրումների մեջ </w:t>
      </w:r>
      <w:r w:rsidR="00243818" w:rsidRPr="00383F2B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</w:t>
      </w:r>
      <w:r w:rsidR="00383F2B" w:rsidRPr="00383F2B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2654,9</w:t>
      </w:r>
      <w:r w:rsidRPr="00383F2B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հազ. դրամը բաժին է  ընկնում ապառքներին</w:t>
      </w:r>
      <w:r w:rsidR="00383F2B" w:rsidRPr="00675314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:</w:t>
      </w:r>
      <w:r w:rsidRPr="00383F2B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</w:p>
    <w:p w:rsidR="00DA5E83" w:rsidRPr="0056095B" w:rsidRDefault="004A026F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1260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6D4DE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6D4DE4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8602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24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83B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876</w:t>
      </w:r>
      <w:r w:rsidR="00083BD2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83B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720,3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ծրագրի</w:t>
      </w:r>
      <w:r w:rsidR="003671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83B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</w:t>
      </w:r>
      <w:r w:rsidR="00D4546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083B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թերֆինանսավորումները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հիմնականում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գնումների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գործընթացում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առաջացած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խնայողություններով</w:t>
      </w:r>
      <w:r w:rsidR="00DF76D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036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3D75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համայնքում</w:t>
      </w:r>
      <w:r w:rsidR="00BC3D7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3D75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թափուր</w:t>
      </w:r>
      <w:r w:rsidR="00BC3D7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հաստիքներով</w:t>
      </w:r>
      <w:r w:rsidR="003671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6D4DE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2021</w:t>
      </w:r>
      <w:r w:rsidR="006763F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թվականի </w:t>
      </w:r>
      <w:r w:rsidR="001260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սուբվենցիոն ծրագրերով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AE35F2" w:rsidRPr="0056095B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</w:t>
      </w:r>
      <w:r w:rsidR="006763FF" w:rsidRPr="0056095B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                                             </w:t>
      </w:r>
      <w:r w:rsidR="00F2549F" w:rsidRPr="0056095B">
        <w:rPr>
          <w:rFonts w:ascii="GHEA Grapalat" w:hAnsi="GHEA Grapalat" w:cs="Arial"/>
          <w:i/>
          <w:color w:val="000000"/>
          <w:sz w:val="20"/>
          <w:szCs w:val="20"/>
          <w:lang w:val="hy-AM"/>
        </w:rPr>
        <w:t>Բ</w:t>
      </w:r>
      <w:r w:rsidR="00AE35F2" w:rsidRPr="0056095B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յուջետային</w:t>
      </w:r>
      <w:r w:rsidR="00AE35F2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56095B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տարվա</w:t>
      </w:r>
      <w:r w:rsidR="00AE35F2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56095B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ավարտին</w:t>
      </w:r>
      <w:r w:rsidR="00AE35F2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56095B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պարտքեր</w:t>
      </w:r>
      <w:r w:rsidR="00AE35F2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56095B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թողնվել</w:t>
      </w:r>
      <w:r w:rsidR="00AE35F2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DA5E83" w:rsidRPr="0056095B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են սուբվենցիոն ծրագրերի շինարարական աշխատանքների հետ կապված :</w:t>
      </w:r>
    </w:p>
    <w:p w:rsidR="00016817" w:rsidRPr="0056095B" w:rsidRDefault="00C93696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Այժմ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ներկայացնենք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C427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71605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1605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2021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մանրամասն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քանակական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համեմատական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վերլուծությունը։</w:t>
      </w:r>
    </w:p>
    <w:p w:rsidR="00016817" w:rsidRPr="0056095B" w:rsidRDefault="00C4536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675314" w:rsidRPr="003053C1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56095B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Եկամուտներ</w:t>
      </w:r>
    </w:p>
    <w:p w:rsidR="00016817" w:rsidRPr="0056095B" w:rsidRDefault="0071605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06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նի</w:t>
      </w:r>
      <w:r w:rsidR="003B3DD5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վարչական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6701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15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D6701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ձևավորվել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</w:t>
      </w:r>
      <w:r w:rsidR="009F36DB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ւտների</w:t>
      </w:r>
      <w:r w:rsidR="009F36D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9F36D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9F36D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D6701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53,6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B739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</w:t>
      </w:r>
      <w:r w:rsidR="009F36DB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տոնական</w:t>
      </w:r>
      <w:r w:rsidR="009F36D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="009F36DB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6011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6701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30,5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ը՝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6B739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հաշվին</w:t>
      </w:r>
      <w:r w:rsidR="0092232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</w:p>
    <w:p w:rsidR="00675314" w:rsidRPr="003053C1" w:rsidRDefault="00015099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 xml:space="preserve">        </w:t>
      </w:r>
      <w:r w:rsidR="00104FEE" w:rsidRPr="0056095B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 xml:space="preserve">                </w:t>
      </w:r>
      <w:r w:rsidRPr="0056095B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 xml:space="preserve">               </w:t>
      </w:r>
    </w:p>
    <w:p w:rsidR="00675314" w:rsidRPr="003053C1" w:rsidRDefault="0067531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</w:pPr>
      <w:r w:rsidRPr="003053C1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lastRenderedPageBreak/>
        <w:t xml:space="preserve">                                        </w:t>
      </w:r>
    </w:p>
    <w:p w:rsidR="00016817" w:rsidRPr="0056095B" w:rsidRDefault="0067531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3053C1">
        <w:rPr>
          <w:rFonts w:ascii="GHEA Grapalat" w:eastAsia="Times New Roman" w:hAnsi="GHEA Grapalat" w:cs="Calibri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</w:t>
      </w:r>
      <w:r w:rsidR="00016817" w:rsidRPr="0056095B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Հ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ա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ր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կ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ե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ր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104FEE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 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և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  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տ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ու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ր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ք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ե</w:t>
      </w:r>
      <w:r w:rsidR="00104FEE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ր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>.</w:t>
      </w:r>
    </w:p>
    <w:p w:rsidR="00772D8A" w:rsidRPr="0056095B" w:rsidRDefault="009F36DB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DD422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97F0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նախատեսվել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առավելագույն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</w:t>
      </w:r>
      <w:r w:rsidR="007D727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DD422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Հարկայ</w:t>
      </w:r>
      <w:r w:rsidR="00F030E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ին եկամուտների գծով թերակատարվել են</w:t>
      </w:r>
      <w:r w:rsidR="001025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՝</w:t>
      </w:r>
      <w:r w:rsidR="00F030E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8B3FD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գույքային հարկեր անշարժ գույքից,</w:t>
      </w:r>
      <w:r w:rsidR="00DD422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գույքային </w:t>
      </w:r>
      <w:r w:rsidR="00F030E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հարկեր այլ գույքից,</w:t>
      </w:r>
      <w:r w:rsidR="00DD422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1025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գծով՝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B3FD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Համայնքի վարչական տարածքում ոգելից և ալկոհոլային խմիչքների և (կամ) ծխախոտի արտադրանքի վաճառքի թույլտվության համար,</w:t>
      </w:r>
      <w:r w:rsidR="008B3FD1" w:rsidRPr="0056095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B3FD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Համայնքի վարչական տարածքում համայնքային կանոններին համապատասխան հանրային սննդի կազմակերպման և իրացման թույլտվության համար,</w:t>
      </w:r>
      <w:r w:rsidR="008B3FD1" w:rsidRPr="0056095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B3FD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Համայնքի վարչական տարածքում մարդատար տաքսու (բացառությամբ երթուղային տաքսիների՛ միկրոավտոբուսների) ծառայություն իրականացնելու թույլտվության համար </w:t>
      </w:r>
      <w:r w:rsidR="001025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 Ս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ակայն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պետք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առնել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պլանավորվում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կանխատեսելիության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գանձումն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իրականացվում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հաշվետու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տարում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հաշվառման</w:t>
      </w:r>
      <w:r w:rsidR="008A182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տվյալներով</w:t>
      </w:r>
      <w:r w:rsidR="006B739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129E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3129E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Այսպիսով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8906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0F06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111792,9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2C76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6011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112740,0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2C76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2C76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երակատարվել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947,1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հերթին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07E8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0409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17645,2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2232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</w:t>
      </w:r>
      <w:r w:rsidR="003129E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2C77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</w:t>
      </w:r>
      <w:r w:rsidR="00007E8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նշարժ գույքի հարկի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57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10994,2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9257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10210</w:t>
      </w:r>
      <w:r w:rsidR="007121B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0597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57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107,7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գերազանցում է </w:t>
      </w:r>
      <w:r w:rsidR="00007E8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հավաքագրման մակարդակը</w:t>
      </w:r>
      <w:r w:rsidR="007B123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571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14</w:t>
      </w:r>
      <w:r w:rsidR="00007E8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%-ով</w:t>
      </w:r>
      <w:r w:rsidR="00805978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: </w:t>
      </w:r>
      <w:r w:rsidR="0080199C" w:rsidRPr="000D2CE5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</w:t>
      </w:r>
      <w:r w:rsidR="000D2CE5" w:rsidRPr="000D2CE5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D9D9D9" w:themeFill="background1" w:themeFillShade="D9"/>
          <w:lang w:val="hy-AM" w:eastAsia="ru-RU"/>
        </w:rPr>
        <w:t>3105,1</w:t>
      </w:r>
      <w:r w:rsidR="0080199C" w:rsidRPr="000D2CE5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հազ.դրամը կազմում  են ապառքները։</w:t>
      </w:r>
      <w:r w:rsidR="0060112F" w:rsidRPr="000D2CE5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</w:t>
      </w:r>
      <w:r w:rsidR="00E842C2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</w:t>
      </w:r>
      <w:r w:rsidR="0080199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2C775C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-</w:t>
      </w:r>
      <w:r w:rsidR="002C77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գույքային հարկեր այլ գույքից</w:t>
      </w:r>
      <w:r w:rsidR="002C775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713E0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13E0C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713E0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72E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96,8</w:t>
      </w:r>
      <w:r w:rsidR="00713E0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FB15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72E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84118,3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C09E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E05E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86870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.0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որից ապառք՝ </w:t>
      </w:r>
      <w:r w:rsidR="003B4AD1" w:rsidRPr="00686388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D9D9D9" w:themeFill="background1" w:themeFillShade="D9"/>
          <w:lang w:val="hy-AM" w:eastAsia="ru-RU"/>
        </w:rPr>
        <w:t>16982,5</w:t>
      </w:r>
      <w:r w:rsidR="008573AE" w:rsidRPr="0068638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.դրամ։ Հաշվետու տարվա հավաքագրումը    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գերազանցում է 2020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թ</w:t>
      </w:r>
      <w:r w:rsidR="007B1238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1238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նույն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1238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ցուցանիշը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51C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12510,8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</w:t>
      </w:r>
      <w:r w:rsidR="007B1238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7B1238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6011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0199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72D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12772,3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դրամ՝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772D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12360,0</w:t>
      </w:r>
      <w:r w:rsidR="0075486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E842C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72D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103,3</w:t>
      </w:r>
      <w:r w:rsidR="00E842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%:   </w:t>
      </w:r>
    </w:p>
    <w:p w:rsidR="00667FB0" w:rsidRPr="0056095B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3908,1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54861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</w:t>
      </w:r>
    </w:p>
    <w:p w:rsidR="002B68A0" w:rsidRPr="003053C1" w:rsidRDefault="00754861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745BC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(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18</w:t>
      </w:r>
      <w:r w:rsidR="00D7708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D7708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D77085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D7708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3300</w:t>
      </w:r>
      <w:r w:rsidR="00EC09E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92232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</w:t>
      </w:r>
      <w:r w:rsidR="007B123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FB158A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քաղաքացիական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կացության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գրանցելու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893,3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45BC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(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27,6</w:t>
      </w:r>
      <w:r w:rsidR="00713E0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%)`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15737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016817" w:rsidRPr="0056095B" w:rsidRDefault="007B1238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B158A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գրասենյակների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կողմից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3014,8</w:t>
      </w:r>
      <w:r w:rsidR="00DE413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9332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667FB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116,0</w:t>
      </w:r>
      <w:r w:rsidR="00713E0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%)`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016817" w:rsidRPr="0056095B" w:rsidRDefault="00015099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</w:t>
      </w:r>
      <w:r w:rsidR="0015737A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</w:t>
      </w:r>
      <w:r w:rsidR="0092232D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</w:t>
      </w: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Պաշտոնական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դրամաշնորհներ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>.</w:t>
      </w:r>
    </w:p>
    <w:p w:rsidR="00665DB4" w:rsidRPr="0056095B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Պաշտոնական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5DB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586409,4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EC09E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665DB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797606,8</w:t>
      </w:r>
      <w:r w:rsidR="00745BC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65DB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73,5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FB158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-ով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3F0A2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F0A2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BF1CDE" w:rsidRPr="0056095B" w:rsidRDefault="003F0A2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 xml:space="preserve"> 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համահարթեցման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տրամադրվող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դոտացիաների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դոտացիաների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ֆինանսավորվել են ամբողջությամբ և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07E9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373668,9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</w:p>
    <w:p w:rsidR="00DD21BA" w:rsidRPr="0056095B" w:rsidRDefault="00BF1CDE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Պետական բյուջեից տրամադրվող նպատակային հատկացումներ (սուբվենցիաներ)</w:t>
      </w:r>
      <w:r w:rsidRPr="00F204BF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գծով ֆինանսավորվել է 2615,6 հազար դրամ նախատեսված 5601,0 հազար դրամի դիմաց,</w:t>
      </w:r>
      <w:r w:rsidR="003F0A2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թերֆինանսավորման պատճառը  ՀՀ Կառավարության 18</w:t>
      </w:r>
      <w:r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03</w:t>
      </w:r>
      <w:r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2021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թվականի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թիվ</w:t>
      </w: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371 որոշումն է,որի համաձայն պակսեցվել է երաժշտական և արվեստի դպրոցներում ազգային, լարային,փողային նվագարանների գծով ուսման վարձավճարի փոխհատուցման գումարները։                                                                                                                                    </w:t>
      </w:r>
      <w:r w:rsidR="003F0A2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F0A2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</w:t>
      </w:r>
    </w:p>
    <w:p w:rsidR="00016817" w:rsidRPr="0056095B" w:rsidRDefault="00DD21BA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10596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A51C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 բյուջեից կապիտալ ծախսերի ֆինանսավորման նպատակային հատկացումներ (սուբվենցիաներ)</w:t>
      </w:r>
      <w:r w:rsidR="0010596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ծրագրերի համար 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</w:t>
      </w:r>
      <w:r w:rsidR="00245E90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հատկացվել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A51C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210124,9</w:t>
      </w:r>
      <w:r w:rsidR="0010596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</w:t>
      </w:r>
      <w:r w:rsidR="00105969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05969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410E3A" w:rsidRPr="00F204BF" w:rsidRDefault="00015099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410E3A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741DD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245E9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E3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225330,3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410E3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216934,9</w:t>
      </w:r>
      <w:r w:rsidR="003F20D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D7708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77085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7708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E3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96,2</w:t>
      </w:r>
      <w:r w:rsidR="0048018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92232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</w:p>
    <w:p w:rsidR="009D0603" w:rsidRPr="00636E47" w:rsidRDefault="0092232D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գույքի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հողերի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վարձակալությունից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053C1" w:rsidRPr="003053C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81955,2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741DD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053C1" w:rsidRPr="003053C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81100</w:t>
      </w:r>
      <w:r w:rsidR="009D0603" w:rsidRPr="00F204BF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,0</w:t>
      </w:r>
      <w:r w:rsidR="007F0B4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D0603" w:rsidRPr="00F204BF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101,</w:t>
      </w:r>
      <w:r w:rsidR="003053C1" w:rsidRPr="003053C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D0603" w:rsidRPr="00F204BF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741DD3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վարչական</w:t>
      </w:r>
      <w:r w:rsidR="00741DD3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տարածքում՝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ֆիզիկական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իրավաբանական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անձանց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տարածքների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հաշվառման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գույքագրման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իրավական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փաստաթղթերի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ինչպես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նաև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վերջիններիս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հողամասերի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սահմանների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վերաճշտման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9D0603" w:rsidRPr="00F204BF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որոշմամբ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պայմաններով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պայմանագրերի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վերանայման</w:t>
      </w:r>
      <w:r w:rsidR="00312C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,նոր պայմանագրերի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312C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կնքման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ու</w:t>
      </w:r>
      <w:r w:rsidR="00016817" w:rsidRPr="0056095B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տեղեկատվական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բազայի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հստակեցման</w:t>
      </w:r>
      <w:r w:rsidR="00016817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105969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շարունակական </w:t>
      </w:r>
      <w:r w:rsidR="00016817"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գործընթացով</w:t>
      </w:r>
      <w:r w:rsidR="003F20D5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6011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C90331" w:rsidRPr="00636E4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</w:t>
      </w:r>
      <w:r w:rsidR="00636E47" w:rsidRPr="00714454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2567.3</w:t>
      </w:r>
      <w:r w:rsidR="00245E90" w:rsidRPr="00636E4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90331" w:rsidRPr="00636E4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ապառքները:</w:t>
      </w:r>
      <w:r w:rsidRPr="00636E4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</w:t>
      </w:r>
    </w:p>
    <w:p w:rsidR="00016817" w:rsidRPr="0056095B" w:rsidRDefault="0092232D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7008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53D83" w:rsidRPr="00F204BF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66172,1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53D83" w:rsidRPr="00F204BF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74610,0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375C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</w:t>
      </w:r>
      <w:r w:rsidR="00105969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7F0B46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753D83" w:rsidRPr="00F204BF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88,7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7F0B46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937BF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AA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ինքնակամ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կառույցների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օրինականացման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59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1782,3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59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500,</w:t>
      </w:r>
      <w:r w:rsidR="00DB2FC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B2FC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410AA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59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356,</w:t>
      </w:r>
      <w:r w:rsidR="0041592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AF4AB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410AA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</w:t>
      </w:r>
      <w:r w:rsidR="00AF4AB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AA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իրավախախտումներից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510A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1002,4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510A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F025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000</w:t>
      </w:r>
      <w:r w:rsidR="00DB2FC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510A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100,2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մուտքագրման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ենթակա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A469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14885,5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3320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A469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93,0</w:t>
      </w:r>
      <w:r w:rsidR="00AE778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A469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1600</w:t>
      </w:r>
      <w:r w:rsidR="00410AA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CA469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դիմաց։</w:t>
      </w:r>
    </w:p>
    <w:p w:rsidR="00016817" w:rsidRPr="0056095B" w:rsidRDefault="00B726EA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</w:t>
      </w:r>
      <w:r w:rsidR="0033657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</w:t>
      </w:r>
      <w:r w:rsidR="0001509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</w:t>
      </w:r>
      <w:r w:rsidR="0033657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</w:t>
      </w:r>
      <w:r w:rsidR="004676A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33657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Ծ</w:t>
      </w:r>
      <w:r w:rsidR="00104FEE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ա</w:t>
      </w:r>
      <w:r w:rsidR="00104FEE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խ</w:t>
      </w:r>
      <w:r w:rsidR="00104FEE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ս</w:t>
      </w:r>
      <w:r w:rsidR="00104FEE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ե</w:t>
      </w:r>
      <w:r w:rsidR="00104FEE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ր</w:t>
      </w:r>
    </w:p>
    <w:p w:rsidR="00031EA8" w:rsidRPr="00F204BF" w:rsidRDefault="005935F6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7C26F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876720,3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1174572,1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93320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74,6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կշռում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95,8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629257,3</w:t>
      </w:r>
      <w:r w:rsidR="006B257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հազ.դրամ</w:t>
      </w:r>
      <w:r w:rsidR="0093320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ը </w:t>
      </w:r>
      <w:r w:rsidR="00737FC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737FC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 ուղղվել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ընթացիկ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BC5D5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), </w:t>
      </w:r>
      <w:r w:rsidR="00BC5D53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6B257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247463,1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28,2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կապիտալ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բնույթի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զուտ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7008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(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ֆոնդային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9215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)։ </w:t>
      </w:r>
      <w:r w:rsidR="009215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>Կ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ապիտալ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470080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9215D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նաև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ոչ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ակտիվների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օտարումից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հատկացումների հաշվին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92232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</w:t>
      </w:r>
    </w:p>
    <w:p w:rsidR="00681AE1" w:rsidRPr="0056095B" w:rsidRDefault="00A44C8F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215D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ծավալներում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գերակշիռ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կրթությա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48018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կշիռը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ընդհանուր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մեջ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C43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67299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46,3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ընդհանուր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բնույթի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ծառայություններին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վերաբերող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FC539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9C43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16,2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շրջակա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միջավայրի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պաշտպանությանն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ուղղված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ծախսերը՝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15,4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տնտեսական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հարաբերություններ՝</w:t>
      </w:r>
      <w:r w:rsidR="00104FE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7,9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բնակարանային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շնարարություն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կոմունալ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C539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8,4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հանգիստ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մշակույթ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կրոն՝</w:t>
      </w:r>
      <w:r w:rsidR="00104FE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4,7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232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սոցիալական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</w:t>
      </w:r>
      <w:r w:rsidR="00FC5394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ուն</w:t>
      </w:r>
      <w:r w:rsidR="0000296F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4313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0.</w:t>
      </w:r>
      <w:r w:rsidR="00FE04DD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0029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FE04DD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,հիմնական բաժիններին չդասվող պահուստային ֆոնդեր՝ 0,5%:</w:t>
      </w:r>
    </w:p>
    <w:p w:rsidR="005A0AE8" w:rsidRPr="0056095B" w:rsidRDefault="00681AE1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72060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1F63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</w:t>
      </w:r>
      <w:r w:rsidR="0043272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56095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ըստ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գործառական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տնտեսագիտական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դասակարգման</w:t>
      </w:r>
      <w:r w:rsidR="008573A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ցույց է տալիս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ցուցանիշներից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կատարողականների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թերֆինանսավորում, որը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FC0490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5A0AE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3272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</w:t>
      </w:r>
      <w:r w:rsidR="008573AE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</w:t>
      </w:r>
      <w:r w:rsidR="00432728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B37E81" w:rsidRPr="0056095B" w:rsidRDefault="00B16165" w:rsidP="00714454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2020թ</w:t>
      </w:r>
      <w:r w:rsidR="00B51A5F"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համայնքում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B4241A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համայնքի ենթակառուցվածքների զարգացմանն ուղղված 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սուբվենցիոն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ծրագրեր</w:t>
      </w:r>
      <w:r w:rsidR="00B4241A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 շինարարական աշխատանքներ,որոնք ընթացիկ բյուջետային տարում չեն ավարտվել և ՀՀ կառավարության որոշմա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ն համաձայն երկարաձգվել է 2021թ</w:t>
      </w:r>
      <w:r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F636F" w:rsidRPr="0056095B">
        <w:rPr>
          <w:rFonts w:ascii="GHEA Grapalat" w:eastAsia="Times New Roman" w:hAnsi="GHEA Grapalat" w:cs="Cambria Math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,</w:t>
      </w:r>
      <w:r w:rsidR="001F636F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սակայն որոշ ծրագրեր երկարաձգվել են 2022թ,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դրանք են</w:t>
      </w:r>
      <w:r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4241A"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</w:t>
      </w:r>
      <w:r w:rsidR="001F63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81AE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Մեղրի </w:t>
      </w:r>
      <w:r w:rsidR="000E6B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բնակավայրի 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մանկապարտեզի </w:t>
      </w:r>
      <w:r w:rsidR="00B37E81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հիմնա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նորոգում  </w:t>
      </w:r>
    </w:p>
    <w:p w:rsidR="007912F2" w:rsidRPr="0056095B" w:rsidRDefault="00AF3DCB" w:rsidP="00714454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>_Ագարակ բնակավայրում կաթսայատան շենքի վերակառուցում մարզադպրոցի</w:t>
      </w:r>
      <w:r w:rsidR="00B51A5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1F636F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</w:p>
    <w:p w:rsidR="00B51A5F" w:rsidRPr="0056095B" w:rsidRDefault="001F636F" w:rsidP="00714454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2021թվականի </w:t>
      </w:r>
      <w:r w:rsidR="000E6B6F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ս</w:t>
      </w: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ուբվենցիոն ծրագրեր,որոնք երկարաձգվել են 2022թ</w:t>
      </w:r>
      <w:r w:rsidRPr="0056095B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,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դրանք</w:t>
      </w: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56095B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են</w:t>
      </w: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</w:t>
      </w:r>
      <w:r w:rsidR="00551263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                                     </w:t>
      </w:r>
    </w:p>
    <w:p w:rsidR="00840DB4" w:rsidRPr="0056095B" w:rsidRDefault="00840DB4" w:rsidP="00714454">
      <w:pPr>
        <w:shd w:val="clear" w:color="auto" w:fill="FFFFFF" w:themeFill="background1"/>
        <w:spacing w:before="100" w:beforeAutospacing="1" w:after="100" w:afterAutospacing="1" w:line="360" w:lineRule="auto"/>
        <w:ind w:left="284" w:hanging="142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- Մեղրի բնակավայրում խաղահրապարակի կառուցում</w:t>
      </w:r>
    </w:p>
    <w:p w:rsidR="00B37E81" w:rsidRDefault="00B37E81" w:rsidP="00714454">
      <w:pPr>
        <w:shd w:val="clear" w:color="auto" w:fill="FFFFFF" w:themeFill="background1"/>
        <w:spacing w:before="100" w:beforeAutospacing="1" w:after="100" w:afterAutospacing="1" w:line="360" w:lineRule="auto"/>
        <w:ind w:left="284" w:hanging="142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en-US" w:eastAsia="ru-RU"/>
        </w:rPr>
      </w:pPr>
      <w:r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 Մեղրի բնակավայրում կասկադի կառուցում</w:t>
      </w:r>
    </w:p>
    <w:p w:rsidR="00681006" w:rsidRPr="00681006" w:rsidRDefault="00681006" w:rsidP="00681006">
      <w:pPr>
        <w:pStyle w:val="ac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681006">
        <w:rPr>
          <w:rFonts w:ascii="GHEA Grapalat" w:hAnsi="GHEA Grapalat"/>
          <w:b/>
          <w:i/>
          <w:noProof/>
          <w:color w:val="000000"/>
          <w:sz w:val="20"/>
          <w:lang w:val="hy-AM"/>
        </w:rPr>
        <w:t>2021 թվականի բյուջեի կատարման տարեկան հաշվետվությունը ներկայացվում է ավագանու հաստատմանը՝ ավագանու անդամների եզրակացության հիման վրա։</w:t>
      </w:r>
    </w:p>
    <w:p w:rsidR="00681006" w:rsidRPr="007867E1" w:rsidRDefault="00681006" w:rsidP="00681006">
      <w:pPr>
        <w:pStyle w:val="3"/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</w:pPr>
      <w:r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ab/>
      </w:r>
      <w:r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br/>
      </w:r>
    </w:p>
    <w:p w:rsidR="00681006" w:rsidRDefault="00681006" w:rsidP="0068100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681006" w:rsidRDefault="00681006" w:rsidP="0068100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681006" w:rsidRPr="00681006" w:rsidRDefault="00681006" w:rsidP="00681006">
      <w:pPr>
        <w:spacing w:line="276" w:lineRule="auto"/>
        <w:jc w:val="center"/>
        <w:rPr>
          <w:rFonts w:ascii="GHEA Grapalat" w:hAnsi="GHEA Grapalat"/>
          <w:lang w:val="en-US"/>
        </w:rPr>
      </w:pPr>
      <w:r w:rsidRPr="007867E1">
        <w:rPr>
          <w:rFonts w:ascii="GHEA Grapalat" w:hAnsi="GHEA Grapalat"/>
          <w:lang w:val="hy-AM"/>
        </w:rPr>
        <w:t>ՀԱՄԱՅՆՔԻ ՂԵԿԱՎԱՐ՝</w:t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  <w:t xml:space="preserve">       </w:t>
      </w:r>
      <w:r w:rsidRPr="007867E1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en-US"/>
        </w:rPr>
        <w:t>Բ</w:t>
      </w:r>
      <w:r w:rsidRPr="007867E1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en-US"/>
        </w:rPr>
        <w:t>ԶԱՔԱՐՅԱՆ</w:t>
      </w:r>
      <w:bookmarkStart w:id="0" w:name="_GoBack"/>
      <w:bookmarkEnd w:id="0"/>
    </w:p>
    <w:sectPr w:rsidR="00681006" w:rsidRPr="00681006" w:rsidSect="00647F54">
      <w:pgSz w:w="11906" w:h="16838"/>
      <w:pgMar w:top="284" w:right="707" w:bottom="142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D6" w:rsidRDefault="00EC5FD6" w:rsidP="006C332E">
      <w:pPr>
        <w:spacing w:after="0" w:line="240" w:lineRule="auto"/>
      </w:pPr>
      <w:r>
        <w:separator/>
      </w:r>
    </w:p>
  </w:endnote>
  <w:endnote w:type="continuationSeparator" w:id="0">
    <w:p w:rsidR="00EC5FD6" w:rsidRDefault="00EC5FD6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7200000000000000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D6" w:rsidRDefault="00EC5FD6" w:rsidP="006C332E">
      <w:pPr>
        <w:spacing w:after="0" w:line="240" w:lineRule="auto"/>
      </w:pPr>
      <w:r>
        <w:separator/>
      </w:r>
    </w:p>
  </w:footnote>
  <w:footnote w:type="continuationSeparator" w:id="0">
    <w:p w:rsidR="00EC5FD6" w:rsidRDefault="00EC5FD6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5"/>
    <w:rsid w:val="0000296F"/>
    <w:rsid w:val="00007E8C"/>
    <w:rsid w:val="00015099"/>
    <w:rsid w:val="00016817"/>
    <w:rsid w:val="00031EA8"/>
    <w:rsid w:val="000350FD"/>
    <w:rsid w:val="00072060"/>
    <w:rsid w:val="00083BD2"/>
    <w:rsid w:val="000B5DBF"/>
    <w:rsid w:val="000D2CE5"/>
    <w:rsid w:val="000E6B6F"/>
    <w:rsid w:val="000F062F"/>
    <w:rsid w:val="0010255C"/>
    <w:rsid w:val="0010311D"/>
    <w:rsid w:val="00104FEE"/>
    <w:rsid w:val="00105969"/>
    <w:rsid w:val="00106A09"/>
    <w:rsid w:val="0012605C"/>
    <w:rsid w:val="00135292"/>
    <w:rsid w:val="00143F44"/>
    <w:rsid w:val="001541E3"/>
    <w:rsid w:val="0015737A"/>
    <w:rsid w:val="00160651"/>
    <w:rsid w:val="001741C1"/>
    <w:rsid w:val="00174AE9"/>
    <w:rsid w:val="001805AE"/>
    <w:rsid w:val="0018602E"/>
    <w:rsid w:val="001A51C9"/>
    <w:rsid w:val="001B3679"/>
    <w:rsid w:val="001B6360"/>
    <w:rsid w:val="001D0B83"/>
    <w:rsid w:val="001D7B6C"/>
    <w:rsid w:val="001F636F"/>
    <w:rsid w:val="00207E97"/>
    <w:rsid w:val="00211E09"/>
    <w:rsid w:val="00221928"/>
    <w:rsid w:val="002366CB"/>
    <w:rsid w:val="00243818"/>
    <w:rsid w:val="00245E90"/>
    <w:rsid w:val="0024630D"/>
    <w:rsid w:val="002502DF"/>
    <w:rsid w:val="002504D7"/>
    <w:rsid w:val="00251C5C"/>
    <w:rsid w:val="00260174"/>
    <w:rsid w:val="00280819"/>
    <w:rsid w:val="0029499F"/>
    <w:rsid w:val="002B68A0"/>
    <w:rsid w:val="002C7617"/>
    <w:rsid w:val="002C775C"/>
    <w:rsid w:val="002C7D97"/>
    <w:rsid w:val="002D7559"/>
    <w:rsid w:val="003053C1"/>
    <w:rsid w:val="00306D8A"/>
    <w:rsid w:val="003129E4"/>
    <w:rsid w:val="00312C17"/>
    <w:rsid w:val="0033657C"/>
    <w:rsid w:val="003414FB"/>
    <w:rsid w:val="00344FEF"/>
    <w:rsid w:val="00360898"/>
    <w:rsid w:val="0036689C"/>
    <w:rsid w:val="0036712C"/>
    <w:rsid w:val="0037650C"/>
    <w:rsid w:val="00383F2B"/>
    <w:rsid w:val="003870FD"/>
    <w:rsid w:val="00391758"/>
    <w:rsid w:val="00391F39"/>
    <w:rsid w:val="00396068"/>
    <w:rsid w:val="00396682"/>
    <w:rsid w:val="003A3ABB"/>
    <w:rsid w:val="003B2D09"/>
    <w:rsid w:val="003B3DD5"/>
    <w:rsid w:val="003B4AD1"/>
    <w:rsid w:val="003C36A0"/>
    <w:rsid w:val="003E5641"/>
    <w:rsid w:val="003E7AA0"/>
    <w:rsid w:val="003F0A20"/>
    <w:rsid w:val="003F20D5"/>
    <w:rsid w:val="00402141"/>
    <w:rsid w:val="004036AE"/>
    <w:rsid w:val="00410AA4"/>
    <w:rsid w:val="00410E3A"/>
    <w:rsid w:val="0041592F"/>
    <w:rsid w:val="004171AE"/>
    <w:rsid w:val="00425B7F"/>
    <w:rsid w:val="00427FE9"/>
    <w:rsid w:val="00432728"/>
    <w:rsid w:val="004514F3"/>
    <w:rsid w:val="00451CF2"/>
    <w:rsid w:val="004676AD"/>
    <w:rsid w:val="00470080"/>
    <w:rsid w:val="00480149"/>
    <w:rsid w:val="00480182"/>
    <w:rsid w:val="00497764"/>
    <w:rsid w:val="004A026F"/>
    <w:rsid w:val="004A2037"/>
    <w:rsid w:val="004A2BA9"/>
    <w:rsid w:val="004C4279"/>
    <w:rsid w:val="004F4ECC"/>
    <w:rsid w:val="004F599B"/>
    <w:rsid w:val="00525AD5"/>
    <w:rsid w:val="005504CA"/>
    <w:rsid w:val="00551263"/>
    <w:rsid w:val="0056095B"/>
    <w:rsid w:val="00561E8F"/>
    <w:rsid w:val="00572A35"/>
    <w:rsid w:val="00584B04"/>
    <w:rsid w:val="005935F6"/>
    <w:rsid w:val="005A0AE8"/>
    <w:rsid w:val="005B5930"/>
    <w:rsid w:val="005B76E7"/>
    <w:rsid w:val="005C35AB"/>
    <w:rsid w:val="005D40FB"/>
    <w:rsid w:val="005D4AA1"/>
    <w:rsid w:val="0060112F"/>
    <w:rsid w:val="0061208A"/>
    <w:rsid w:val="0062034E"/>
    <w:rsid w:val="00636E47"/>
    <w:rsid w:val="00647F47"/>
    <w:rsid w:val="00647F54"/>
    <w:rsid w:val="006510A0"/>
    <w:rsid w:val="00656B7E"/>
    <w:rsid w:val="00665DB4"/>
    <w:rsid w:val="00667FB0"/>
    <w:rsid w:val="00675314"/>
    <w:rsid w:val="006763FF"/>
    <w:rsid w:val="00676885"/>
    <w:rsid w:val="00681006"/>
    <w:rsid w:val="006816EE"/>
    <w:rsid w:val="00681AE1"/>
    <w:rsid w:val="00686388"/>
    <w:rsid w:val="0069548F"/>
    <w:rsid w:val="006977D5"/>
    <w:rsid w:val="006B2579"/>
    <w:rsid w:val="006B7397"/>
    <w:rsid w:val="006C332E"/>
    <w:rsid w:val="006D4DE4"/>
    <w:rsid w:val="006D52F1"/>
    <w:rsid w:val="006E0821"/>
    <w:rsid w:val="007046F5"/>
    <w:rsid w:val="007121B3"/>
    <w:rsid w:val="00713E0C"/>
    <w:rsid w:val="00714454"/>
    <w:rsid w:val="00716050"/>
    <w:rsid w:val="00730E60"/>
    <w:rsid w:val="00737FC8"/>
    <w:rsid w:val="00741DD3"/>
    <w:rsid w:val="00745BC7"/>
    <w:rsid w:val="00753D83"/>
    <w:rsid w:val="00754861"/>
    <w:rsid w:val="0075580B"/>
    <w:rsid w:val="00755C9C"/>
    <w:rsid w:val="00767E7B"/>
    <w:rsid w:val="00772D8A"/>
    <w:rsid w:val="0077526F"/>
    <w:rsid w:val="007912F2"/>
    <w:rsid w:val="007921BB"/>
    <w:rsid w:val="0079332A"/>
    <w:rsid w:val="007A03C6"/>
    <w:rsid w:val="007A08BF"/>
    <w:rsid w:val="007A1BC9"/>
    <w:rsid w:val="007B1238"/>
    <w:rsid w:val="007C26FD"/>
    <w:rsid w:val="007C4F9D"/>
    <w:rsid w:val="007D7278"/>
    <w:rsid w:val="007E05ED"/>
    <w:rsid w:val="007F0B46"/>
    <w:rsid w:val="00800953"/>
    <w:rsid w:val="008015EE"/>
    <w:rsid w:val="0080199C"/>
    <w:rsid w:val="00805978"/>
    <w:rsid w:val="0081750A"/>
    <w:rsid w:val="00827598"/>
    <w:rsid w:val="008350AE"/>
    <w:rsid w:val="00836E74"/>
    <w:rsid w:val="00840DB4"/>
    <w:rsid w:val="00842654"/>
    <w:rsid w:val="008501E9"/>
    <w:rsid w:val="0085693A"/>
    <w:rsid w:val="008573AE"/>
    <w:rsid w:val="00863D80"/>
    <w:rsid w:val="0089068A"/>
    <w:rsid w:val="008A182C"/>
    <w:rsid w:val="008B3B7E"/>
    <w:rsid w:val="008B3FD1"/>
    <w:rsid w:val="008B4190"/>
    <w:rsid w:val="008E097F"/>
    <w:rsid w:val="008F19FA"/>
    <w:rsid w:val="00920EB1"/>
    <w:rsid w:val="009215D2"/>
    <w:rsid w:val="0092232D"/>
    <w:rsid w:val="00925713"/>
    <w:rsid w:val="00933200"/>
    <w:rsid w:val="00934685"/>
    <w:rsid w:val="00934F4A"/>
    <w:rsid w:val="00937BF2"/>
    <w:rsid w:val="0095194D"/>
    <w:rsid w:val="0096034E"/>
    <w:rsid w:val="0098392F"/>
    <w:rsid w:val="0098694E"/>
    <w:rsid w:val="00997F0E"/>
    <w:rsid w:val="009C4313"/>
    <w:rsid w:val="009C72E4"/>
    <w:rsid w:val="009D0603"/>
    <w:rsid w:val="009E3642"/>
    <w:rsid w:val="009F36DB"/>
    <w:rsid w:val="00A44C8F"/>
    <w:rsid w:val="00A6192A"/>
    <w:rsid w:val="00A63BFE"/>
    <w:rsid w:val="00A868B5"/>
    <w:rsid w:val="00A94D06"/>
    <w:rsid w:val="00A97B48"/>
    <w:rsid w:val="00AE35F2"/>
    <w:rsid w:val="00AE6FCB"/>
    <w:rsid w:val="00AE7783"/>
    <w:rsid w:val="00AF3DCB"/>
    <w:rsid w:val="00AF48BE"/>
    <w:rsid w:val="00AF4AB0"/>
    <w:rsid w:val="00B0748D"/>
    <w:rsid w:val="00B16165"/>
    <w:rsid w:val="00B165E4"/>
    <w:rsid w:val="00B25A1C"/>
    <w:rsid w:val="00B345CE"/>
    <w:rsid w:val="00B37E81"/>
    <w:rsid w:val="00B4241A"/>
    <w:rsid w:val="00B51A5F"/>
    <w:rsid w:val="00B60F11"/>
    <w:rsid w:val="00B67299"/>
    <w:rsid w:val="00B726EA"/>
    <w:rsid w:val="00B80FC2"/>
    <w:rsid w:val="00B93318"/>
    <w:rsid w:val="00BA3430"/>
    <w:rsid w:val="00BB295B"/>
    <w:rsid w:val="00BB70B3"/>
    <w:rsid w:val="00BC32CD"/>
    <w:rsid w:val="00BC3D75"/>
    <w:rsid w:val="00BC5D53"/>
    <w:rsid w:val="00BC6965"/>
    <w:rsid w:val="00BF1CDE"/>
    <w:rsid w:val="00C06B9A"/>
    <w:rsid w:val="00C1575F"/>
    <w:rsid w:val="00C265DD"/>
    <w:rsid w:val="00C35AAB"/>
    <w:rsid w:val="00C37DB0"/>
    <w:rsid w:val="00C4406B"/>
    <w:rsid w:val="00C45360"/>
    <w:rsid w:val="00C57131"/>
    <w:rsid w:val="00C66C93"/>
    <w:rsid w:val="00C76FAC"/>
    <w:rsid w:val="00C8096E"/>
    <w:rsid w:val="00C8203E"/>
    <w:rsid w:val="00C90331"/>
    <w:rsid w:val="00C93696"/>
    <w:rsid w:val="00C940FF"/>
    <w:rsid w:val="00CA19A9"/>
    <w:rsid w:val="00CA4691"/>
    <w:rsid w:val="00CA741A"/>
    <w:rsid w:val="00CD62D5"/>
    <w:rsid w:val="00CF19CB"/>
    <w:rsid w:val="00D0031D"/>
    <w:rsid w:val="00D17598"/>
    <w:rsid w:val="00D3215D"/>
    <w:rsid w:val="00D45466"/>
    <w:rsid w:val="00D67016"/>
    <w:rsid w:val="00D75C0C"/>
    <w:rsid w:val="00D77085"/>
    <w:rsid w:val="00DA0DC7"/>
    <w:rsid w:val="00DA5E83"/>
    <w:rsid w:val="00DB2FC4"/>
    <w:rsid w:val="00DC4881"/>
    <w:rsid w:val="00DD0890"/>
    <w:rsid w:val="00DD21BA"/>
    <w:rsid w:val="00DD4225"/>
    <w:rsid w:val="00DE413C"/>
    <w:rsid w:val="00DF76DA"/>
    <w:rsid w:val="00E22C0C"/>
    <w:rsid w:val="00E24E90"/>
    <w:rsid w:val="00E4546C"/>
    <w:rsid w:val="00E62860"/>
    <w:rsid w:val="00E71E42"/>
    <w:rsid w:val="00E7519C"/>
    <w:rsid w:val="00E759C2"/>
    <w:rsid w:val="00E842C2"/>
    <w:rsid w:val="00E8725D"/>
    <w:rsid w:val="00EA06F5"/>
    <w:rsid w:val="00EA15C5"/>
    <w:rsid w:val="00EA1950"/>
    <w:rsid w:val="00EA33A9"/>
    <w:rsid w:val="00EC09EE"/>
    <w:rsid w:val="00EC5FD6"/>
    <w:rsid w:val="00ED3B40"/>
    <w:rsid w:val="00EE02E9"/>
    <w:rsid w:val="00EF7554"/>
    <w:rsid w:val="00F02513"/>
    <w:rsid w:val="00F030E0"/>
    <w:rsid w:val="00F0409E"/>
    <w:rsid w:val="00F12621"/>
    <w:rsid w:val="00F13BEB"/>
    <w:rsid w:val="00F13EE8"/>
    <w:rsid w:val="00F204BF"/>
    <w:rsid w:val="00F2549F"/>
    <w:rsid w:val="00F269DF"/>
    <w:rsid w:val="00F33060"/>
    <w:rsid w:val="00F375CD"/>
    <w:rsid w:val="00F37BC9"/>
    <w:rsid w:val="00F6033B"/>
    <w:rsid w:val="00F717AD"/>
    <w:rsid w:val="00F977A3"/>
    <w:rsid w:val="00FA5BB2"/>
    <w:rsid w:val="00FB158A"/>
    <w:rsid w:val="00FC0490"/>
    <w:rsid w:val="00FC5394"/>
    <w:rsid w:val="00FD02E7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580B"/>
    <w:rPr>
      <w:b/>
      <w:bCs/>
    </w:rPr>
  </w:style>
  <w:style w:type="paragraph" w:styleId="ac">
    <w:name w:val="Body Text"/>
    <w:basedOn w:val="a"/>
    <w:link w:val="ad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580B"/>
    <w:rPr>
      <w:b/>
      <w:bCs/>
    </w:rPr>
  </w:style>
  <w:style w:type="paragraph" w:styleId="ac">
    <w:name w:val="Body Text"/>
    <w:basedOn w:val="a"/>
    <w:link w:val="ad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277F-BFA6-4069-A236-C202F3EA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2022-02-25T12:39:00Z</cp:lastPrinted>
  <dcterms:created xsi:type="dcterms:W3CDTF">2022-03-10T05:52:00Z</dcterms:created>
  <dcterms:modified xsi:type="dcterms:W3CDTF">2022-03-10T05:54:00Z</dcterms:modified>
</cp:coreProperties>
</file>